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696A1" w14:textId="77777777" w:rsidR="00DE5A6D" w:rsidRPr="00DE5A6D" w:rsidRDefault="00DE5A6D" w:rsidP="00DE5A6D">
      <w:pPr>
        <w:spacing w:before="120" w:after="0"/>
        <w:jc w:val="center"/>
        <w:rPr>
          <w:rFonts w:ascii="Palatino Linotype" w:hAnsi="Palatino Linotype"/>
          <w:sz w:val="32"/>
          <w:szCs w:val="32"/>
        </w:rPr>
      </w:pPr>
      <w:r w:rsidRPr="00381911">
        <w:rPr>
          <w:rFonts w:ascii="Palatino Linotype" w:hAnsi="Palatino Linotype"/>
          <w:b/>
          <w:bCs/>
          <w:sz w:val="36"/>
          <w:szCs w:val="36"/>
        </w:rPr>
        <w:t xml:space="preserve">Lisa </w:t>
      </w:r>
      <w:r w:rsidRPr="00381911">
        <w:rPr>
          <w:rFonts w:ascii="Palatino Linotype" w:hAnsi="Palatino Linotype"/>
          <w:b/>
          <w:bCs/>
          <w:smallCaps/>
          <w:sz w:val="36"/>
          <w:szCs w:val="36"/>
        </w:rPr>
        <w:t>Bouvier</w:t>
      </w:r>
      <w:r>
        <w:rPr>
          <w:rFonts w:ascii="Palatino Linotype" w:hAnsi="Palatino Linotype"/>
          <w:b/>
          <w:bCs/>
          <w:sz w:val="32"/>
          <w:szCs w:val="32"/>
        </w:rPr>
        <w:t xml:space="preserve">, </w:t>
      </w:r>
      <w:r>
        <w:rPr>
          <w:rFonts w:ascii="Palatino Linotype" w:hAnsi="Palatino Linotype"/>
          <w:sz w:val="32"/>
          <w:szCs w:val="32"/>
        </w:rPr>
        <w:t>2019 : 100</w:t>
      </w:r>
      <w:r>
        <w:rPr>
          <w:rFonts w:ascii="Palatino Linotype" w:hAnsi="Palatino Linotype"/>
          <w:sz w:val="32"/>
          <w:szCs w:val="32"/>
        </w:rPr>
        <w:br/>
      </w:r>
      <w:r w:rsidRPr="004F0A7A">
        <w:rPr>
          <w:rFonts w:ascii="Palatino Linotype" w:hAnsi="Palatino Linotype"/>
          <w:b/>
          <w:bCs/>
          <w:i/>
          <w:iCs/>
          <w:sz w:val="32"/>
          <w:szCs w:val="32"/>
        </w:rPr>
        <w:t>Rencontres au risque du transfert</w:t>
      </w:r>
      <w:r>
        <w:rPr>
          <w:rFonts w:ascii="Palatino Linotype" w:hAnsi="Palatino Linotype"/>
          <w:b/>
          <w:bCs/>
          <w:sz w:val="32"/>
          <w:szCs w:val="32"/>
        </w:rPr>
        <w:br/>
      </w:r>
      <w:r w:rsidRPr="004F0A7A">
        <w:rPr>
          <w:rFonts w:ascii="Palatino Linotype" w:hAnsi="Palatino Linotype"/>
          <w:i/>
          <w:iCs/>
          <w:sz w:val="32"/>
          <w:szCs w:val="32"/>
        </w:rPr>
        <w:t>Psychiatrie et accompagnement social</w:t>
      </w:r>
      <w:r>
        <w:rPr>
          <w:rFonts w:ascii="Palatino Linotype" w:hAnsi="Palatino Linotype"/>
          <w:sz w:val="32"/>
          <w:szCs w:val="32"/>
        </w:rPr>
        <w:t xml:space="preserve"> </w:t>
      </w:r>
    </w:p>
    <w:p w14:paraId="56ED4839" w14:textId="77777777" w:rsidR="00DE5A6D" w:rsidRDefault="00DE5A6D" w:rsidP="001B2007">
      <w:pPr>
        <w:spacing w:before="120" w:after="360"/>
        <w:jc w:val="center"/>
        <w:rPr>
          <w:rFonts w:ascii="Palatino Linotype" w:hAnsi="Palatino Linotype"/>
          <w:sz w:val="28"/>
          <w:szCs w:val="28"/>
        </w:rPr>
      </w:pPr>
      <w:r w:rsidRPr="004F0A7A">
        <w:rPr>
          <w:rFonts w:ascii="Palatino Linotype" w:hAnsi="Palatino Linotype"/>
          <w:sz w:val="28"/>
          <w:szCs w:val="28"/>
        </w:rPr>
        <w:t>L’Harmattan Co</w:t>
      </w:r>
      <w:bookmarkStart w:id="0" w:name="_GoBack"/>
      <w:bookmarkEnd w:id="0"/>
      <w:r w:rsidRPr="004F0A7A">
        <w:rPr>
          <w:rFonts w:ascii="Palatino Linotype" w:hAnsi="Palatino Linotype"/>
          <w:sz w:val="28"/>
          <w:szCs w:val="28"/>
        </w:rPr>
        <w:t>ll. Terrains : récits et fictions</w:t>
      </w:r>
    </w:p>
    <w:p w14:paraId="67F89336" w14:textId="77777777" w:rsidR="00557A40" w:rsidRPr="004F0A7A" w:rsidRDefault="00557A40" w:rsidP="001B2007">
      <w:pPr>
        <w:spacing w:before="120" w:after="360"/>
        <w:jc w:val="center"/>
        <w:rPr>
          <w:rFonts w:ascii="Palatino Linotype" w:hAnsi="Palatino Linotype"/>
          <w:sz w:val="28"/>
          <w:szCs w:val="28"/>
        </w:rPr>
      </w:pPr>
      <w:r>
        <w:rPr>
          <w:rFonts w:ascii="Palatino Linotype" w:hAnsi="Palatino Linotype"/>
          <w:sz w:val="28"/>
          <w:szCs w:val="28"/>
        </w:rPr>
        <w:t>(Note de lecture : BGL, 10/08/2019)</w:t>
      </w:r>
    </w:p>
    <w:p w14:paraId="46347D05" w14:textId="77777777" w:rsidR="00DE5A6D" w:rsidRDefault="006B3CC2" w:rsidP="00DE5A6D">
      <w:pPr>
        <w:spacing w:before="120" w:after="0"/>
        <w:jc w:val="both"/>
        <w:rPr>
          <w:rFonts w:ascii="Palatino Linotype" w:hAnsi="Palatino Linotype"/>
          <w:sz w:val="26"/>
          <w:szCs w:val="26"/>
        </w:rPr>
      </w:pPr>
      <w:r>
        <w:rPr>
          <w:rFonts w:ascii="Palatino Linotype" w:hAnsi="Palatino Linotype"/>
          <w:sz w:val="26"/>
          <w:szCs w:val="26"/>
        </w:rPr>
        <w:t xml:space="preserve">Désormais dirigée par l’écrivain Sofiane Naït Mouloud, la collection </w:t>
      </w:r>
      <w:r w:rsidRPr="006B3CC2">
        <w:rPr>
          <w:rFonts w:ascii="Palatino Linotype" w:hAnsi="Palatino Linotype"/>
          <w:b/>
          <w:bCs/>
          <w:sz w:val="26"/>
          <w:szCs w:val="26"/>
        </w:rPr>
        <w:t>Terrain</w:t>
      </w:r>
      <w:r>
        <w:rPr>
          <w:rFonts w:ascii="Palatino Linotype" w:hAnsi="Palatino Linotype"/>
          <w:sz w:val="26"/>
          <w:szCs w:val="26"/>
        </w:rPr>
        <w:t xml:space="preserve"> publie un ouvrage petit mais dense (on aurait presqu’envie d’écrire </w:t>
      </w:r>
      <w:r w:rsidRPr="006B3CC2">
        <w:rPr>
          <w:rFonts w:ascii="Palatino Linotype" w:hAnsi="Palatino Linotype"/>
          <w:i/>
          <w:iCs/>
          <w:sz w:val="26"/>
          <w:szCs w:val="26"/>
        </w:rPr>
        <w:t>mais danse</w:t>
      </w:r>
      <w:r>
        <w:rPr>
          <w:rFonts w:ascii="Palatino Linotype" w:hAnsi="Palatino Linotype"/>
          <w:sz w:val="26"/>
          <w:szCs w:val="26"/>
        </w:rPr>
        <w:t>, tellement sa forme verbale et sa construction sont primesautières)</w:t>
      </w:r>
      <w:r w:rsidR="008F7EB2">
        <w:rPr>
          <w:rFonts w:ascii="Palatino Linotype" w:hAnsi="Palatino Linotype"/>
          <w:sz w:val="26"/>
          <w:szCs w:val="26"/>
        </w:rPr>
        <w:t xml:space="preserve"> d’une jeune femme qui, du bénévolat aux personnes handicapées, physiques ou socialement par la prison, est devenue une professionnelle de la psychiatrie de terrain</w:t>
      </w:r>
      <w:r w:rsidR="004F0A7A">
        <w:rPr>
          <w:rFonts w:ascii="Palatino Linotype" w:hAnsi="Palatino Linotype"/>
          <w:sz w:val="26"/>
          <w:szCs w:val="26"/>
        </w:rPr>
        <w:t xml:space="preserve"> et de la confrontation interculturelle</w:t>
      </w:r>
      <w:r w:rsidR="008F7EB2">
        <w:rPr>
          <w:rFonts w:ascii="Palatino Linotype" w:hAnsi="Palatino Linotype"/>
          <w:sz w:val="26"/>
          <w:szCs w:val="26"/>
        </w:rPr>
        <w:t xml:space="preserve">. On n’en sait pas plus de son cursus </w:t>
      </w:r>
      <w:r w:rsidR="004F0A7A">
        <w:rPr>
          <w:rFonts w:ascii="Palatino Linotype" w:hAnsi="Palatino Linotype"/>
          <w:sz w:val="26"/>
          <w:szCs w:val="26"/>
        </w:rPr>
        <w:t>f</w:t>
      </w:r>
      <w:r w:rsidR="008F7EB2">
        <w:rPr>
          <w:rFonts w:ascii="Palatino Linotype" w:hAnsi="Palatino Linotype"/>
          <w:sz w:val="26"/>
          <w:szCs w:val="26"/>
        </w:rPr>
        <w:t>ait probablement de stages, de cours et de sessions de formation, de suivis de séminaires</w:t>
      </w:r>
      <w:r w:rsidR="004F0A7A">
        <w:rPr>
          <w:rFonts w:ascii="Palatino Linotype" w:hAnsi="Palatino Linotype"/>
          <w:sz w:val="26"/>
          <w:szCs w:val="26"/>
        </w:rPr>
        <w:t>, d’expérimentations de terrain encadrées universitairement</w:t>
      </w:r>
      <w:r w:rsidR="008F7EB2">
        <w:rPr>
          <w:rFonts w:ascii="Palatino Linotype" w:hAnsi="Palatino Linotype"/>
          <w:sz w:val="26"/>
          <w:szCs w:val="26"/>
        </w:rPr>
        <w:t>…</w:t>
      </w:r>
    </w:p>
    <w:p w14:paraId="66AD1310" w14:textId="77777777" w:rsidR="00DE5A6D" w:rsidRDefault="008F7EB2" w:rsidP="006B3CC2">
      <w:pPr>
        <w:spacing w:after="0"/>
        <w:ind w:firstLine="284"/>
        <w:jc w:val="both"/>
        <w:rPr>
          <w:rFonts w:ascii="Palatino Linotype" w:hAnsi="Palatino Linotype"/>
          <w:sz w:val="26"/>
          <w:szCs w:val="26"/>
        </w:rPr>
      </w:pPr>
      <w:bookmarkStart w:id="1" w:name="_Hlk16337683"/>
      <w:r>
        <w:rPr>
          <w:rFonts w:ascii="Palatino Linotype" w:hAnsi="Palatino Linotype"/>
          <w:sz w:val="26"/>
          <w:szCs w:val="26"/>
        </w:rPr>
        <w:t>J’ai personnellement en haute estime ces parcours plein de vie, de vies multiples, faits de rebonds, de gamelles que l’on entend quand on parle avec ces personnes, et très souvent ils ont à raconter</w:t>
      </w:r>
      <w:r w:rsidR="004F0A7A">
        <w:rPr>
          <w:rFonts w:ascii="Palatino Linotype" w:hAnsi="Palatino Linotype"/>
          <w:sz w:val="26"/>
          <w:szCs w:val="26"/>
        </w:rPr>
        <w:t>…</w:t>
      </w:r>
      <w:r>
        <w:rPr>
          <w:rFonts w:ascii="Palatino Linotype" w:hAnsi="Palatino Linotype"/>
          <w:sz w:val="26"/>
          <w:szCs w:val="26"/>
        </w:rPr>
        <w:t xml:space="preserve"> mais peu savent écrire. On arrive parfois à leur faire faire un rapport, mais de peu d’intérêt comparé à ce que l’on sait qu’ils savent, à ce qu’ils sont capables de faire, et par qualité professionnelle et par abnégation personnelle</w:t>
      </w:r>
      <w:r w:rsidR="004F0A7A">
        <w:rPr>
          <w:rFonts w:ascii="Palatino Linotype" w:hAnsi="Palatino Linotype"/>
          <w:sz w:val="26"/>
          <w:szCs w:val="26"/>
        </w:rPr>
        <w:t>,</w:t>
      </w:r>
      <w:r>
        <w:rPr>
          <w:rFonts w:ascii="Palatino Linotype" w:hAnsi="Palatino Linotype"/>
          <w:sz w:val="26"/>
          <w:szCs w:val="26"/>
        </w:rPr>
        <w:t xml:space="preserve"> mais dont les écrits demandent parfois un énorme travail de lecture peu compatible avec l’édition : leur production universitaire ou professionnelle reste dans les cartons…</w:t>
      </w:r>
    </w:p>
    <w:p w14:paraId="18C13C62" w14:textId="74C2B215" w:rsidR="00DE5A6D" w:rsidRDefault="008F7EB2" w:rsidP="006B3CC2">
      <w:pPr>
        <w:spacing w:after="0"/>
        <w:ind w:firstLine="284"/>
        <w:jc w:val="both"/>
        <w:rPr>
          <w:rFonts w:ascii="Palatino Linotype" w:hAnsi="Palatino Linotype"/>
          <w:sz w:val="26"/>
          <w:szCs w:val="26"/>
        </w:rPr>
      </w:pPr>
      <w:r>
        <w:rPr>
          <w:rFonts w:ascii="Palatino Linotype" w:hAnsi="Palatino Linotype"/>
          <w:sz w:val="26"/>
          <w:szCs w:val="26"/>
        </w:rPr>
        <w:t>Ayant suivi une formation universitaire</w:t>
      </w:r>
      <w:r w:rsidR="00D14114">
        <w:rPr>
          <w:rFonts w:ascii="Palatino Linotype" w:hAnsi="Palatino Linotype"/>
          <w:sz w:val="26"/>
          <w:szCs w:val="26"/>
        </w:rPr>
        <w:t xml:space="preserve"> en marge de son travail, Lisa Bouvier, travailleuse sociale en foyer psychiatrique – je simplifie étant peu familier de ce secteur d’activité – nous donne dans cet ouvrage une refonte totale, une rédaction nouvelle de son rapport entaché des tics universitaires habituels, qui sont l’honneur de l’université mais la plaie de l’édition d’ouvrages qui peuvent atteindre le grand public</w:t>
      </w:r>
      <w:r w:rsidR="004F0A7A">
        <w:rPr>
          <w:rFonts w:ascii="Palatino Linotype" w:hAnsi="Palatino Linotype"/>
          <w:sz w:val="26"/>
          <w:szCs w:val="26"/>
        </w:rPr>
        <w:t>, lequel</w:t>
      </w:r>
      <w:r w:rsidR="00D14114">
        <w:rPr>
          <w:rFonts w:ascii="Palatino Linotype" w:hAnsi="Palatino Linotype"/>
          <w:sz w:val="26"/>
          <w:szCs w:val="26"/>
        </w:rPr>
        <w:t xml:space="preserve"> reste découragé par les notes, les bibliographies interminables, les cultissimes tics professionnels, les phrases qui n’en finissent pas et le vocabulaire précieux puisque rare</w:t>
      </w:r>
      <w:r w:rsidR="004F0A7A">
        <w:rPr>
          <w:rFonts w:ascii="Palatino Linotype" w:hAnsi="Palatino Linotype"/>
          <w:sz w:val="26"/>
          <w:szCs w:val="26"/>
        </w:rPr>
        <w:t xml:space="preserve"> jusqu’à la pédanterie</w:t>
      </w:r>
      <w:r w:rsidR="00D14114">
        <w:rPr>
          <w:rFonts w:ascii="Palatino Linotype" w:hAnsi="Palatino Linotype"/>
          <w:sz w:val="26"/>
          <w:szCs w:val="26"/>
        </w:rPr>
        <w:t>.</w:t>
      </w:r>
    </w:p>
    <w:p w14:paraId="483640D6" w14:textId="77777777" w:rsidR="00D14114" w:rsidRDefault="00D14114" w:rsidP="006B3CC2">
      <w:pPr>
        <w:spacing w:after="0"/>
        <w:ind w:firstLine="284"/>
        <w:jc w:val="both"/>
        <w:rPr>
          <w:rFonts w:ascii="Palatino Linotype" w:hAnsi="Palatino Linotype"/>
          <w:sz w:val="26"/>
          <w:szCs w:val="26"/>
        </w:rPr>
      </w:pPr>
      <w:r>
        <w:rPr>
          <w:rFonts w:ascii="Palatino Linotype" w:hAnsi="Palatino Linotype"/>
          <w:sz w:val="26"/>
          <w:szCs w:val="26"/>
        </w:rPr>
        <w:t xml:space="preserve">Son jury d’examen avait vu le caractère enjoué du style écrit – faussement oral – de l’autrice et lui avait avec intelligence conseillé de reprendre sa </w:t>
      </w:r>
      <w:r>
        <w:rPr>
          <w:rFonts w:ascii="Palatino Linotype" w:hAnsi="Palatino Linotype"/>
          <w:sz w:val="26"/>
          <w:szCs w:val="26"/>
        </w:rPr>
        <w:lastRenderedPageBreak/>
        <w:t xml:space="preserve">rédaction et de </w:t>
      </w:r>
      <w:r w:rsidR="00752F73">
        <w:rPr>
          <w:rFonts w:ascii="Palatino Linotype" w:hAnsi="Palatino Linotype"/>
          <w:sz w:val="26"/>
          <w:szCs w:val="26"/>
        </w:rPr>
        <w:t>la proposer à un éditeur.</w:t>
      </w:r>
      <w:r>
        <w:rPr>
          <w:rFonts w:ascii="Palatino Linotype" w:hAnsi="Palatino Linotype"/>
          <w:sz w:val="26"/>
          <w:szCs w:val="26"/>
        </w:rPr>
        <w:t xml:space="preserve"> </w:t>
      </w:r>
      <w:r w:rsidR="00752F73">
        <w:rPr>
          <w:rFonts w:ascii="Palatino Linotype" w:hAnsi="Palatino Linotype"/>
          <w:sz w:val="26"/>
          <w:szCs w:val="26"/>
        </w:rPr>
        <w:t xml:space="preserve">Voilà </w:t>
      </w:r>
      <w:r>
        <w:rPr>
          <w:rFonts w:ascii="Palatino Linotype" w:hAnsi="Palatino Linotype"/>
          <w:sz w:val="26"/>
          <w:szCs w:val="26"/>
        </w:rPr>
        <w:t>qui est fait</w:t>
      </w:r>
      <w:r w:rsidR="00752F73">
        <w:rPr>
          <w:rFonts w:ascii="Palatino Linotype" w:hAnsi="Palatino Linotype"/>
          <w:sz w:val="26"/>
          <w:szCs w:val="26"/>
        </w:rPr>
        <w:t> :</w:t>
      </w:r>
      <w:r>
        <w:rPr>
          <w:rFonts w:ascii="Palatino Linotype" w:hAnsi="Palatino Linotype"/>
          <w:sz w:val="26"/>
          <w:szCs w:val="26"/>
        </w:rPr>
        <w:t xml:space="preserve"> c’est de ce travail et de ce travail seul que nous allons maintenant </w:t>
      </w:r>
      <w:r w:rsidR="00752F73">
        <w:rPr>
          <w:rFonts w:ascii="Palatino Linotype" w:hAnsi="Palatino Linotype"/>
          <w:sz w:val="26"/>
          <w:szCs w:val="26"/>
        </w:rPr>
        <w:t xml:space="preserve">parler pour le </w:t>
      </w:r>
      <w:r>
        <w:rPr>
          <w:rFonts w:ascii="Palatino Linotype" w:hAnsi="Palatino Linotype"/>
          <w:sz w:val="26"/>
          <w:szCs w:val="26"/>
        </w:rPr>
        <w:t xml:space="preserve">juger </w:t>
      </w:r>
      <w:r w:rsidR="00752F73">
        <w:rPr>
          <w:rFonts w:ascii="Palatino Linotype" w:hAnsi="Palatino Linotype"/>
          <w:sz w:val="26"/>
          <w:szCs w:val="26"/>
        </w:rPr>
        <w:t xml:space="preserve">comme </w:t>
      </w:r>
      <w:r>
        <w:rPr>
          <w:rFonts w:ascii="Palatino Linotype" w:hAnsi="Palatino Linotype"/>
          <w:sz w:val="26"/>
          <w:szCs w:val="26"/>
        </w:rPr>
        <w:t>ouvrage.</w:t>
      </w:r>
    </w:p>
    <w:p w14:paraId="64622549" w14:textId="77777777" w:rsidR="00D14114" w:rsidRPr="00D14114" w:rsidRDefault="00D14114" w:rsidP="006B3CC2">
      <w:pPr>
        <w:spacing w:after="0"/>
        <w:ind w:firstLine="284"/>
        <w:jc w:val="both"/>
        <w:rPr>
          <w:rFonts w:ascii="Palatino Linotype" w:hAnsi="Palatino Linotype"/>
          <w:sz w:val="28"/>
          <w:szCs w:val="28"/>
        </w:rPr>
      </w:pPr>
      <w:r>
        <w:rPr>
          <w:rFonts w:ascii="Palatino Linotype" w:hAnsi="Palatino Linotype"/>
          <w:sz w:val="26"/>
          <w:szCs w:val="26"/>
        </w:rPr>
        <w:t>Disons en préambule pour n’en plus parler ensuite</w:t>
      </w:r>
      <w:r w:rsidR="004F0A7A">
        <w:rPr>
          <w:rFonts w:ascii="Palatino Linotype" w:hAnsi="Palatino Linotype"/>
          <w:sz w:val="26"/>
          <w:szCs w:val="26"/>
        </w:rPr>
        <w:t>,</w:t>
      </w:r>
      <w:r>
        <w:rPr>
          <w:rFonts w:ascii="Palatino Linotype" w:hAnsi="Palatino Linotype"/>
          <w:sz w:val="26"/>
          <w:szCs w:val="26"/>
        </w:rPr>
        <w:t xml:space="preserve"> que la forme des paragraphes aurait dû </w:t>
      </w:r>
      <w:r w:rsidR="00752F73">
        <w:rPr>
          <w:rFonts w:ascii="Palatino Linotype" w:hAnsi="Palatino Linotype"/>
          <w:sz w:val="26"/>
          <w:szCs w:val="26"/>
        </w:rPr>
        <w:t xml:space="preserve">choisir entre les paragraphes margés à l’américaine (sans retrait de première ligne et avec un espace au-dessus, d’une demie-ligne ou moins, parfois une ligne pour les plus paresseux qui continuent à écrire à l’ordinateur comme si c’était une machine à écrire Remington portative… </w:t>
      </w:r>
      <w:r w:rsidR="00752F73" w:rsidRPr="00752F73">
        <w:rPr>
          <w:rFonts w:ascii="Palatino Linotype" w:hAnsi="Palatino Linotype"/>
          <w:i/>
          <w:iCs/>
          <w:sz w:val="26"/>
          <w:szCs w:val="26"/>
        </w:rPr>
        <w:t>Hein Læticia ?</w:t>
      </w:r>
      <w:r w:rsidR="00752F73">
        <w:rPr>
          <w:rFonts w:ascii="Palatino Linotype" w:hAnsi="Palatino Linotype"/>
          <w:sz w:val="26"/>
          <w:szCs w:val="26"/>
        </w:rPr>
        <w:t>) et les paragraphes margés à la française (avec un retrait en première ligne de 0,5 cm ou un peu plus selon les goûts de chacun) : on a les deux en même temps, avec quasiment une ligne entre chaque paragraphe</w:t>
      </w:r>
      <w:r w:rsidR="00105A47">
        <w:rPr>
          <w:rFonts w:ascii="Palatino Linotype" w:hAnsi="Palatino Linotype"/>
          <w:sz w:val="26"/>
          <w:szCs w:val="26"/>
        </w:rPr>
        <w:t> ! Bon ! Passons, on connait les éditions de L’Harmattan pour être pointilleuses sur les veuves et orphelines (lignes seules en bas ou haut de page) mais peu accroc à l’esthétique de l’ensemble ! Mais ceci n’est pas une chronique religieuse.</w:t>
      </w:r>
    </w:p>
    <w:bookmarkEnd w:id="1"/>
    <w:p w14:paraId="243D4FAB" w14:textId="77777777" w:rsidR="00DE5A6D" w:rsidRDefault="00105A47" w:rsidP="00DE5A6D">
      <w:pPr>
        <w:spacing w:before="120" w:after="0"/>
        <w:jc w:val="both"/>
        <w:rPr>
          <w:rFonts w:ascii="Palatino Linotype" w:hAnsi="Palatino Linotype"/>
          <w:sz w:val="26"/>
          <w:szCs w:val="26"/>
        </w:rPr>
      </w:pPr>
      <w:r>
        <w:rPr>
          <w:rFonts w:ascii="Palatino Linotype" w:hAnsi="Palatino Linotype"/>
          <w:sz w:val="26"/>
          <w:szCs w:val="26"/>
        </w:rPr>
        <w:t>Après un avant-propos pertinent du directeur de la collection cadrant l’ouvrage dans la grande mouvance des travaux sur la migration qui afflue vers les pays occidentaux, un prologue de Lisa Bouvier nous jette littéralement au feu de l’action par un prologue sec d’une page : un des acteurs principaux de cet ouvrage est un Malien qu</w:t>
      </w:r>
      <w:r w:rsidR="004F0A7A">
        <w:rPr>
          <w:rFonts w:ascii="Palatino Linotype" w:hAnsi="Palatino Linotype"/>
          <w:sz w:val="26"/>
          <w:szCs w:val="26"/>
        </w:rPr>
        <w:t>i,</w:t>
      </w:r>
      <w:r>
        <w:rPr>
          <w:rFonts w:ascii="Palatino Linotype" w:hAnsi="Palatino Linotype"/>
          <w:sz w:val="26"/>
          <w:szCs w:val="26"/>
        </w:rPr>
        <w:t xml:space="preserve"> pour un repas festif</w:t>
      </w:r>
      <w:r w:rsidR="004F0A7A">
        <w:rPr>
          <w:rFonts w:ascii="Palatino Linotype" w:hAnsi="Palatino Linotype"/>
          <w:sz w:val="26"/>
          <w:szCs w:val="26"/>
        </w:rPr>
        <w:t>,</w:t>
      </w:r>
      <w:r>
        <w:rPr>
          <w:rFonts w:ascii="Palatino Linotype" w:hAnsi="Palatino Linotype"/>
          <w:sz w:val="26"/>
          <w:szCs w:val="26"/>
        </w:rPr>
        <w:t xml:space="preserve"> se scandalise du gâteau qu’il prend pour un savon. L’ouvrage va raconter quelques épisodes de dix ans de travail dans un foyer de post-cure pour populations à risques</w:t>
      </w:r>
      <w:r w:rsidR="00506188">
        <w:rPr>
          <w:rFonts w:ascii="Palatino Linotype" w:hAnsi="Palatino Linotype"/>
          <w:sz w:val="26"/>
          <w:szCs w:val="26"/>
        </w:rPr>
        <w:t xml:space="preserve">… Mais l’autrice ne raconte pas pour raconter, elle se fonde sur un ouvrage de référence de Margarit Cohen-Emerique : </w:t>
      </w:r>
      <w:r w:rsidR="00506188" w:rsidRPr="00506188">
        <w:rPr>
          <w:rFonts w:ascii="Palatino Linotype" w:hAnsi="Palatino Linotype"/>
          <w:i/>
          <w:iCs/>
          <w:sz w:val="26"/>
          <w:szCs w:val="26"/>
        </w:rPr>
        <w:t>Pour une approche interculturelle en travail social</w:t>
      </w:r>
      <w:r w:rsidR="00506188">
        <w:rPr>
          <w:rFonts w:ascii="Palatino Linotype" w:hAnsi="Palatino Linotype"/>
          <w:sz w:val="26"/>
          <w:szCs w:val="26"/>
        </w:rPr>
        <w:t xml:space="preserve"> (2015), que je ne connais pas mais dont toutes les citations qui figuraient dans le</w:t>
      </w:r>
      <w:r w:rsidR="00C41A8C">
        <w:rPr>
          <w:rFonts w:ascii="Palatino Linotype" w:hAnsi="Palatino Linotype"/>
          <w:sz w:val="26"/>
          <w:szCs w:val="26"/>
        </w:rPr>
        <w:t xml:space="preserve"> mémoire universitaire, base de cet ouvrage, m’ont donné une idée très favorable quant à sa pertinence</w:t>
      </w:r>
      <w:r w:rsidR="00C41A8C">
        <w:rPr>
          <w:rStyle w:val="Appelnotedebasdep"/>
          <w:rFonts w:ascii="Palatino Linotype" w:hAnsi="Palatino Linotype"/>
          <w:sz w:val="26"/>
          <w:szCs w:val="26"/>
        </w:rPr>
        <w:footnoteReference w:id="1"/>
      </w:r>
      <w:r w:rsidR="00506188">
        <w:rPr>
          <w:rFonts w:ascii="Palatino Linotype" w:hAnsi="Palatino Linotype"/>
          <w:sz w:val="26"/>
          <w:szCs w:val="26"/>
        </w:rPr>
        <w:t>. Tout de suite signalons un des points forts de ce travail, Lisa Bouvier fait confiance à la méthode qui lui permet de calibrer ses observations, d’une part</w:t>
      </w:r>
      <w:r w:rsidR="000E55A0">
        <w:rPr>
          <w:rFonts w:ascii="Palatino Linotype" w:hAnsi="Palatino Linotype"/>
          <w:sz w:val="26"/>
          <w:szCs w:val="26"/>
        </w:rPr>
        <w:t>,</w:t>
      </w:r>
      <w:r w:rsidR="00506188">
        <w:rPr>
          <w:rFonts w:ascii="Palatino Linotype" w:hAnsi="Palatino Linotype"/>
          <w:sz w:val="26"/>
          <w:szCs w:val="26"/>
        </w:rPr>
        <w:t xml:space="preserve"> et</w:t>
      </w:r>
      <w:r w:rsidR="000E55A0">
        <w:rPr>
          <w:rFonts w:ascii="Palatino Linotype" w:hAnsi="Palatino Linotype"/>
          <w:sz w:val="26"/>
          <w:szCs w:val="26"/>
        </w:rPr>
        <w:t>, d’autre part,</w:t>
      </w:r>
      <w:r w:rsidR="00506188">
        <w:rPr>
          <w:rFonts w:ascii="Palatino Linotype" w:hAnsi="Palatino Linotype"/>
          <w:sz w:val="26"/>
          <w:szCs w:val="26"/>
        </w:rPr>
        <w:t xml:space="preserve"> interprète ses observations à la lumière des grands axes théoriques de l’approche ethnographique. Elle ne cherche pas de faire accroire qu’elle a lu Mauss, Malinovski ou Benedict, ou </w:t>
      </w:r>
      <w:r w:rsidR="00C41A8C">
        <w:rPr>
          <w:rFonts w:ascii="Palatino Linotype" w:hAnsi="Palatino Linotype"/>
          <w:sz w:val="26"/>
          <w:szCs w:val="26"/>
        </w:rPr>
        <w:t xml:space="preserve">dormi avec </w:t>
      </w:r>
      <w:r w:rsidR="00506188" w:rsidRPr="00506188">
        <w:rPr>
          <w:rFonts w:ascii="Palatino Linotype" w:hAnsi="Palatino Linotype"/>
          <w:i/>
          <w:iCs/>
          <w:sz w:val="26"/>
          <w:szCs w:val="26"/>
        </w:rPr>
        <w:t>Notes and Queries on Anthropology</w:t>
      </w:r>
      <w:r w:rsidR="00C41A8C">
        <w:rPr>
          <w:rFonts w:ascii="Palatino Linotype" w:hAnsi="Palatino Linotype"/>
          <w:sz w:val="26"/>
          <w:szCs w:val="26"/>
        </w:rPr>
        <w:t>,</w:t>
      </w:r>
      <w:r w:rsidR="00506188">
        <w:rPr>
          <w:rFonts w:ascii="Palatino Linotype" w:hAnsi="Palatino Linotype"/>
          <w:sz w:val="26"/>
          <w:szCs w:val="26"/>
        </w:rPr>
        <w:t xml:space="preserve"> mais elle fait confiance et à son bon sens, et à son sens de l’observation</w:t>
      </w:r>
      <w:r w:rsidR="000E55A0">
        <w:rPr>
          <w:rFonts w:ascii="Palatino Linotype" w:hAnsi="Palatino Linotype"/>
          <w:sz w:val="26"/>
          <w:szCs w:val="26"/>
        </w:rPr>
        <w:t>,</w:t>
      </w:r>
      <w:r w:rsidR="00506188">
        <w:rPr>
          <w:rFonts w:ascii="Palatino Linotype" w:hAnsi="Palatino Linotype"/>
          <w:sz w:val="26"/>
          <w:szCs w:val="26"/>
        </w:rPr>
        <w:t xml:space="preserve"> et à une </w:t>
      </w:r>
      <w:r w:rsidR="00506188">
        <w:rPr>
          <w:rFonts w:ascii="Palatino Linotype" w:hAnsi="Palatino Linotype"/>
          <w:sz w:val="26"/>
          <w:szCs w:val="26"/>
        </w:rPr>
        <w:lastRenderedPageBreak/>
        <w:t>méthodologie de recueil des faits mise au point pa</w:t>
      </w:r>
      <w:r w:rsidR="00C41A8C">
        <w:rPr>
          <w:rFonts w:ascii="Palatino Linotype" w:hAnsi="Palatino Linotype"/>
          <w:sz w:val="26"/>
          <w:szCs w:val="26"/>
        </w:rPr>
        <w:t>r</w:t>
      </w:r>
      <w:r w:rsidR="00506188">
        <w:rPr>
          <w:rFonts w:ascii="Palatino Linotype" w:hAnsi="Palatino Linotype"/>
          <w:sz w:val="26"/>
          <w:szCs w:val="26"/>
        </w:rPr>
        <w:t xml:space="preserve"> la communauté des chercheurs en sciences sociales. Il est vrai qu’étant présente sur la durée, elle n’a pas les affres de qui arrive sur un terrain inconnu et qui se dit : « C’est avec ça que je</w:t>
      </w:r>
      <w:r w:rsidR="000E55A0">
        <w:rPr>
          <w:rFonts w:ascii="Palatino Linotype" w:hAnsi="Palatino Linotype"/>
          <w:sz w:val="26"/>
          <w:szCs w:val="26"/>
        </w:rPr>
        <w:t xml:space="preserve"> vais</w:t>
      </w:r>
      <w:r w:rsidR="00506188">
        <w:rPr>
          <w:rFonts w:ascii="Palatino Linotype" w:hAnsi="Palatino Linotype"/>
          <w:sz w:val="26"/>
          <w:szCs w:val="26"/>
        </w:rPr>
        <w:t xml:space="preserve"> devoir pondre une thèse ? »</w:t>
      </w:r>
      <w:r w:rsidR="00C41A8C">
        <w:rPr>
          <w:rFonts w:ascii="Palatino Linotype" w:hAnsi="Palatino Linotype"/>
          <w:sz w:val="26"/>
          <w:szCs w:val="26"/>
        </w:rPr>
        <w:t xml:space="preserve"> Mais dix ans de travail ne lui ont pas émoussé la surprise et la jugeotte.</w:t>
      </w:r>
    </w:p>
    <w:p w14:paraId="50E92C7A" w14:textId="2CC09D51" w:rsidR="00DE5A6D" w:rsidRDefault="002126BF" w:rsidP="00DE5A6D">
      <w:pPr>
        <w:spacing w:before="120" w:after="0"/>
        <w:jc w:val="both"/>
        <w:rPr>
          <w:rFonts w:ascii="Palatino Linotype" w:hAnsi="Palatino Linotype"/>
          <w:sz w:val="26"/>
          <w:szCs w:val="26"/>
        </w:rPr>
      </w:pPr>
      <w:r>
        <w:rPr>
          <w:rFonts w:ascii="Palatino Linotype" w:hAnsi="Palatino Linotype"/>
          <w:sz w:val="26"/>
          <w:szCs w:val="26"/>
        </w:rPr>
        <w:t xml:space="preserve">En bonne professionnelle de l’observation et de l’action, </w:t>
      </w:r>
      <w:r w:rsidR="000E55A0">
        <w:rPr>
          <w:rFonts w:ascii="Palatino Linotype" w:hAnsi="Palatino Linotype"/>
          <w:sz w:val="26"/>
          <w:szCs w:val="26"/>
        </w:rPr>
        <w:t>L</w:t>
      </w:r>
      <w:r>
        <w:rPr>
          <w:rFonts w:ascii="Palatino Linotype" w:hAnsi="Palatino Linotype"/>
          <w:sz w:val="26"/>
          <w:szCs w:val="26"/>
        </w:rPr>
        <w:t xml:space="preserve">isa Bouvier expose largement et clairement les enjeux et du travail qu’elle effectue et </w:t>
      </w:r>
      <w:r w:rsidR="00E46E57">
        <w:rPr>
          <w:rFonts w:ascii="Palatino Linotype" w:hAnsi="Palatino Linotype"/>
          <w:sz w:val="26"/>
          <w:szCs w:val="26"/>
        </w:rPr>
        <w:t>d</w:t>
      </w:r>
      <w:r>
        <w:rPr>
          <w:rFonts w:ascii="Palatino Linotype" w:hAnsi="Palatino Linotype"/>
          <w:sz w:val="26"/>
          <w:szCs w:val="26"/>
        </w:rPr>
        <w:t>es fonctions de l’institution qui l’encadre. C’est l’objet de la première partie</w:t>
      </w:r>
      <w:r w:rsidR="00E46E57">
        <w:rPr>
          <w:rFonts w:ascii="Palatino Linotype" w:hAnsi="Palatino Linotype"/>
          <w:sz w:val="26"/>
          <w:szCs w:val="26"/>
        </w:rPr>
        <w:t>,</w:t>
      </w:r>
      <w:r>
        <w:rPr>
          <w:rFonts w:ascii="Palatino Linotype" w:hAnsi="Palatino Linotype"/>
          <w:sz w:val="26"/>
          <w:szCs w:val="26"/>
        </w:rPr>
        <w:t xml:space="preserve"> </w:t>
      </w:r>
      <w:r w:rsidR="00E46E57">
        <w:rPr>
          <w:rFonts w:ascii="Palatino Linotype" w:hAnsi="Palatino Linotype"/>
          <w:sz w:val="26"/>
          <w:szCs w:val="26"/>
        </w:rPr>
        <w:t xml:space="preserve">partie </w:t>
      </w:r>
      <w:r>
        <w:rPr>
          <w:rFonts w:ascii="Palatino Linotype" w:hAnsi="Palatino Linotype"/>
          <w:sz w:val="26"/>
          <w:szCs w:val="26"/>
        </w:rPr>
        <w:t>resserrée, comme tout l’ouvrage. Ce livre</w:t>
      </w:r>
      <w:r w:rsidR="000E55A0">
        <w:rPr>
          <w:rFonts w:ascii="Palatino Linotype" w:hAnsi="Palatino Linotype"/>
          <w:sz w:val="26"/>
          <w:szCs w:val="26"/>
        </w:rPr>
        <w:t>,</w:t>
      </w:r>
      <w:r>
        <w:rPr>
          <w:rFonts w:ascii="Palatino Linotype" w:hAnsi="Palatino Linotype"/>
          <w:sz w:val="26"/>
          <w:szCs w:val="26"/>
        </w:rPr>
        <w:t xml:space="preserve"> fait avec du sentiment et de la passion, n’a pas de graisse bavarde. </w:t>
      </w:r>
    </w:p>
    <w:p w14:paraId="1C5C2B59" w14:textId="77777777" w:rsidR="006B3CC2" w:rsidRDefault="002126BF" w:rsidP="006B3CC2">
      <w:pPr>
        <w:spacing w:after="0"/>
        <w:ind w:firstLine="284"/>
        <w:jc w:val="both"/>
        <w:rPr>
          <w:rFonts w:ascii="Palatino Linotype" w:hAnsi="Palatino Linotype"/>
          <w:sz w:val="26"/>
          <w:szCs w:val="26"/>
        </w:rPr>
      </w:pPr>
      <w:r>
        <w:rPr>
          <w:rFonts w:ascii="Palatino Linotype" w:hAnsi="Palatino Linotype"/>
          <w:sz w:val="26"/>
          <w:szCs w:val="26"/>
        </w:rPr>
        <w:t>Mais ce qui est important pour notre propos</w:t>
      </w:r>
      <w:r w:rsidR="000E55A0">
        <w:rPr>
          <w:rFonts w:ascii="Palatino Linotype" w:hAnsi="Palatino Linotype"/>
          <w:sz w:val="26"/>
          <w:szCs w:val="26"/>
        </w:rPr>
        <w:t>,</w:t>
      </w:r>
      <w:r>
        <w:rPr>
          <w:rFonts w:ascii="Palatino Linotype" w:hAnsi="Palatino Linotype"/>
          <w:sz w:val="26"/>
          <w:szCs w:val="26"/>
        </w:rPr>
        <w:t xml:space="preserve"> c’est la seconde partie qui occupe la deuxième moitié du livre et que l’autrice a centré sur Modibo, un Malien venu en France pour faire sa vie, épouse et fille françaises, </w:t>
      </w:r>
      <w:r w:rsidR="000E55A0">
        <w:rPr>
          <w:rFonts w:ascii="Palatino Linotype" w:hAnsi="Palatino Linotype"/>
          <w:sz w:val="26"/>
          <w:szCs w:val="26"/>
        </w:rPr>
        <w:t xml:space="preserve">et qui </w:t>
      </w:r>
      <w:r>
        <w:rPr>
          <w:rFonts w:ascii="Palatino Linotype" w:hAnsi="Palatino Linotype"/>
          <w:sz w:val="26"/>
          <w:szCs w:val="26"/>
        </w:rPr>
        <w:t>se retrouve dans la position de réfugié et d’assisté : il a “craqué” : il n’a pas compris le pays d’accueil et l’incompréhension a été réciproque. Et c’est là que sur deux plans</w:t>
      </w:r>
      <w:r w:rsidR="000E55A0">
        <w:rPr>
          <w:rFonts w:ascii="Palatino Linotype" w:hAnsi="Palatino Linotype"/>
          <w:sz w:val="26"/>
          <w:szCs w:val="26"/>
        </w:rPr>
        <w:t>,</w:t>
      </w:r>
      <w:r>
        <w:rPr>
          <w:rFonts w:ascii="Palatino Linotype" w:hAnsi="Palatino Linotype"/>
          <w:sz w:val="26"/>
          <w:szCs w:val="26"/>
        </w:rPr>
        <w:t xml:space="preserve"> le livre de Lisa Bouvier se développe avec une grande intelligence des faits observés et vécus.</w:t>
      </w:r>
    </w:p>
    <w:p w14:paraId="16F7C5CF" w14:textId="77777777" w:rsidR="00DE5A6D" w:rsidRDefault="002126BF" w:rsidP="00DE5A6D">
      <w:pPr>
        <w:spacing w:before="120" w:after="0"/>
        <w:jc w:val="both"/>
        <w:rPr>
          <w:rFonts w:ascii="Palatino Linotype" w:hAnsi="Palatino Linotype"/>
          <w:sz w:val="26"/>
          <w:szCs w:val="26"/>
        </w:rPr>
      </w:pPr>
      <w:r>
        <w:rPr>
          <w:rFonts w:ascii="Palatino Linotype" w:hAnsi="Palatino Linotype"/>
          <w:sz w:val="26"/>
          <w:szCs w:val="26"/>
        </w:rPr>
        <w:t xml:space="preserve">D’une part, Lisa Bouvier fait l’expérience de l’altérité culturelle là où elle était responsable </w:t>
      </w:r>
      <w:r w:rsidR="00151D39">
        <w:rPr>
          <w:rFonts w:ascii="Palatino Linotype" w:hAnsi="Palatino Linotype"/>
          <w:sz w:val="26"/>
          <w:szCs w:val="26"/>
        </w:rPr>
        <w:t>face à une personne perçue comme peu responsable de ses actes ; d’autre part, elle va devoir vivre le déchirement du transfert et contre-transfert : « Je t’aide mais tu m’aimes ! Non, ce n’est pas de jeu ! Va, je ne te hais point ! » Deux volets donc vont se mêler dans cette expérience : celui de l’ethnographe, celui du thérapeute psychanalytique.</w:t>
      </w:r>
    </w:p>
    <w:p w14:paraId="3A6C4CD3" w14:textId="77777777" w:rsidR="006B3CC2" w:rsidRDefault="00151D39" w:rsidP="006B3CC2">
      <w:pPr>
        <w:spacing w:after="0"/>
        <w:ind w:firstLine="284"/>
        <w:jc w:val="both"/>
        <w:rPr>
          <w:rFonts w:ascii="Palatino Linotype" w:hAnsi="Palatino Linotype"/>
          <w:sz w:val="26"/>
          <w:szCs w:val="26"/>
        </w:rPr>
      </w:pPr>
      <w:r>
        <w:rPr>
          <w:rFonts w:ascii="Palatino Linotype" w:hAnsi="Palatino Linotype"/>
          <w:sz w:val="26"/>
          <w:szCs w:val="26"/>
        </w:rPr>
        <w:t>C’est le récit des tribulations de Modibo dans ce double jeu, non dénué de perversité et de chausse-trapes, d’une aide à une personne qui est malade de ne pas être chez soi, qui ne peut entrer dans cet autre lui-même que lui propose son échec d’intégration : un fou léger, un dérang</w:t>
      </w:r>
      <w:r w:rsidR="000E55A0">
        <w:rPr>
          <w:rFonts w:ascii="Palatino Linotype" w:hAnsi="Palatino Linotype"/>
          <w:sz w:val="26"/>
          <w:szCs w:val="26"/>
        </w:rPr>
        <w:t>é</w:t>
      </w:r>
      <w:r>
        <w:rPr>
          <w:rFonts w:ascii="Palatino Linotype" w:hAnsi="Palatino Linotype"/>
          <w:sz w:val="26"/>
          <w:szCs w:val="26"/>
        </w:rPr>
        <w:t xml:space="preserve">, un irresponsable… Lui qui fait tout pour rester lui-même sans pouvoir </w:t>
      </w:r>
      <w:r w:rsidR="00AF6DCB">
        <w:rPr>
          <w:rFonts w:ascii="Palatino Linotype" w:hAnsi="Palatino Linotype"/>
          <w:sz w:val="26"/>
          <w:szCs w:val="26"/>
        </w:rPr>
        <w:t>vivre dans un nouveau cadre, qui reste fidèle à sa religion et à ses contraintes – lesquelles sont parfois contradictoires avec les horaires de départ des bus à l’heure de la prière, par exemple –, qui</w:t>
      </w:r>
      <w:r>
        <w:rPr>
          <w:rFonts w:ascii="Palatino Linotype" w:hAnsi="Palatino Linotype"/>
          <w:sz w:val="26"/>
          <w:szCs w:val="26"/>
        </w:rPr>
        <w:t xml:space="preserve"> reste soucieux de sa famille au village</w:t>
      </w:r>
      <w:r w:rsidR="00AF6DCB">
        <w:rPr>
          <w:rFonts w:ascii="Palatino Linotype" w:hAnsi="Palatino Linotype"/>
          <w:sz w:val="26"/>
          <w:szCs w:val="26"/>
        </w:rPr>
        <w:t xml:space="preserve"> à qui il continue de verser son argent protégeant ainsi l’image de soi qu’il a au pays</w:t>
      </w:r>
      <w:r>
        <w:rPr>
          <w:rFonts w:ascii="Palatino Linotype" w:hAnsi="Palatino Linotype"/>
          <w:sz w:val="26"/>
          <w:szCs w:val="26"/>
        </w:rPr>
        <w:t> !</w:t>
      </w:r>
      <w:r w:rsidR="00AF6DCB">
        <w:rPr>
          <w:rFonts w:ascii="Palatino Linotype" w:hAnsi="Palatino Linotype"/>
          <w:sz w:val="26"/>
          <w:szCs w:val="26"/>
        </w:rPr>
        <w:t xml:space="preserve"> (Mieux lui vaut de mourir que de perdre la face et de faire savoir qu’il n’est en France qu’un assisté !)</w:t>
      </w:r>
      <w:r>
        <w:rPr>
          <w:rFonts w:ascii="Palatino Linotype" w:hAnsi="Palatino Linotype"/>
          <w:sz w:val="26"/>
          <w:szCs w:val="26"/>
        </w:rPr>
        <w:t xml:space="preserve"> Et</w:t>
      </w:r>
      <w:r w:rsidR="00AF6DCB">
        <w:rPr>
          <w:rFonts w:ascii="Palatino Linotype" w:hAnsi="Palatino Linotype"/>
          <w:sz w:val="26"/>
          <w:szCs w:val="26"/>
        </w:rPr>
        <w:t xml:space="preserve"> c’est ce même homme</w:t>
      </w:r>
      <w:r>
        <w:rPr>
          <w:rFonts w:ascii="Palatino Linotype" w:hAnsi="Palatino Linotype"/>
          <w:sz w:val="26"/>
          <w:szCs w:val="26"/>
        </w:rPr>
        <w:t xml:space="preserve"> qui va sentir dans son accompagnatrice une personne qui peut l’aider, le comprendre</w:t>
      </w:r>
      <w:r w:rsidR="00AF6DCB">
        <w:rPr>
          <w:rFonts w:ascii="Palatino Linotype" w:hAnsi="Palatino Linotype"/>
          <w:sz w:val="26"/>
          <w:szCs w:val="26"/>
        </w:rPr>
        <w:t> ;</w:t>
      </w:r>
      <w:r>
        <w:rPr>
          <w:rFonts w:ascii="Palatino Linotype" w:hAnsi="Palatino Linotype"/>
          <w:sz w:val="26"/>
          <w:szCs w:val="26"/>
        </w:rPr>
        <w:t xml:space="preserve"> qu</w:t>
      </w:r>
      <w:r w:rsidR="00AF6DCB">
        <w:rPr>
          <w:rFonts w:ascii="Palatino Linotype" w:hAnsi="Palatino Linotype"/>
          <w:sz w:val="26"/>
          <w:szCs w:val="26"/>
        </w:rPr>
        <w:t>’</w:t>
      </w:r>
      <w:r>
        <w:rPr>
          <w:rFonts w:ascii="Palatino Linotype" w:hAnsi="Palatino Linotype"/>
          <w:sz w:val="26"/>
          <w:szCs w:val="26"/>
        </w:rPr>
        <w:t>i</w:t>
      </w:r>
      <w:r w:rsidR="00AF6DCB">
        <w:rPr>
          <w:rFonts w:ascii="Palatino Linotype" w:hAnsi="Palatino Linotype"/>
          <w:sz w:val="26"/>
          <w:szCs w:val="26"/>
        </w:rPr>
        <w:t>l</w:t>
      </w:r>
      <w:r>
        <w:rPr>
          <w:rFonts w:ascii="Palatino Linotype" w:hAnsi="Palatino Linotype"/>
          <w:sz w:val="26"/>
          <w:szCs w:val="26"/>
        </w:rPr>
        <w:t xml:space="preserve"> va phagocyter, obliger à contourner des règles strictes sans lesquelles le travail </w:t>
      </w:r>
      <w:r>
        <w:rPr>
          <w:rFonts w:ascii="Palatino Linotype" w:hAnsi="Palatino Linotype"/>
          <w:sz w:val="26"/>
          <w:szCs w:val="26"/>
        </w:rPr>
        <w:lastRenderedPageBreak/>
        <w:t xml:space="preserve">social devient un apostolat sans garde-fou où l’aidant finit par être plus malade que l’aidé. Et à ce transfert, </w:t>
      </w:r>
      <w:r w:rsidR="00AF6DCB">
        <w:rPr>
          <w:rFonts w:ascii="Palatino Linotype" w:hAnsi="Palatino Linotype"/>
          <w:sz w:val="26"/>
          <w:szCs w:val="26"/>
        </w:rPr>
        <w:t>il va obtenir un contre-transfert… qui a commencé ? se demande quelque part Lisa Bouvier. Oui, qui a commencé ?</w:t>
      </w:r>
    </w:p>
    <w:p w14:paraId="67CBFE16" w14:textId="77777777" w:rsidR="00AF6DCB" w:rsidRDefault="00AF6DCB" w:rsidP="006B3CC2">
      <w:pPr>
        <w:spacing w:after="0"/>
        <w:ind w:firstLine="284"/>
        <w:jc w:val="both"/>
        <w:rPr>
          <w:rFonts w:ascii="Palatino Linotype" w:hAnsi="Palatino Linotype"/>
          <w:sz w:val="26"/>
          <w:szCs w:val="26"/>
        </w:rPr>
      </w:pPr>
      <w:r>
        <w:rPr>
          <w:rFonts w:ascii="Palatino Linotype" w:hAnsi="Palatino Linotype"/>
          <w:sz w:val="26"/>
          <w:szCs w:val="26"/>
        </w:rPr>
        <w:t xml:space="preserve">Tel est le volet “psychanalytique”, l’autre est ethnographique. La grande découverte de Lisa est la même que celle de </w:t>
      </w:r>
      <w:r w:rsidR="00FF4971">
        <w:rPr>
          <w:rFonts w:ascii="Palatino Linotype" w:hAnsi="Palatino Linotype"/>
          <w:sz w:val="26"/>
          <w:szCs w:val="26"/>
        </w:rPr>
        <w:t>toute personne qui a eu une expérience ethnographique : être immergé dans une société autre que la sienne, qui a fait le pari d’entrer dans cette société, un pari pas forcément conscient et qui finit par se retrouver un pion parmi d’autres mais avec pas mal de manques pas mal de fautes de code social et sans ancrages qui assureraient ses arrières. Elle se retrouve manipulée, et cette expérience douloureuse n’est paradoxalement que le signe de la réussite de son intégration et la mise en évidence des limites d’icelle.</w:t>
      </w:r>
      <w:r w:rsidR="000E55A0">
        <w:rPr>
          <w:rFonts w:ascii="Palatino Linotype" w:hAnsi="Palatino Linotype"/>
          <w:sz w:val="26"/>
          <w:szCs w:val="26"/>
        </w:rPr>
        <w:t xml:space="preserve"> Le terrain comme transfert, et la douche du contre-transfert est quand justement vous avez le statut de tout un chacun : être manipulé dans le déroulement de la vie sociale.</w:t>
      </w:r>
    </w:p>
    <w:p w14:paraId="17DF7E1E" w14:textId="77777777" w:rsidR="00946A21" w:rsidRDefault="00FF4971" w:rsidP="000E55A0">
      <w:pPr>
        <w:spacing w:before="120" w:after="0"/>
        <w:jc w:val="both"/>
        <w:rPr>
          <w:rFonts w:ascii="Palatino Linotype" w:hAnsi="Palatino Linotype"/>
          <w:sz w:val="26"/>
          <w:szCs w:val="26"/>
        </w:rPr>
      </w:pPr>
      <w:r>
        <w:rPr>
          <w:rFonts w:ascii="Palatino Linotype" w:hAnsi="Palatino Linotype"/>
          <w:sz w:val="26"/>
          <w:szCs w:val="26"/>
        </w:rPr>
        <w:t xml:space="preserve">C’est à juste titre que la collection </w:t>
      </w:r>
      <w:r w:rsidRPr="00FF4971">
        <w:rPr>
          <w:rFonts w:ascii="Palatino Linotype" w:hAnsi="Palatino Linotype"/>
          <w:b/>
          <w:bCs/>
          <w:i/>
          <w:iCs/>
          <w:sz w:val="26"/>
          <w:szCs w:val="26"/>
        </w:rPr>
        <w:t>Terrain</w:t>
      </w:r>
      <w:r w:rsidRPr="00FF4971">
        <w:rPr>
          <w:rFonts w:ascii="Palatino Linotype" w:hAnsi="Palatino Linotype"/>
          <w:i/>
          <w:iCs/>
          <w:sz w:val="26"/>
          <w:szCs w:val="26"/>
        </w:rPr>
        <w:t> : récits et fictions</w:t>
      </w:r>
      <w:r>
        <w:rPr>
          <w:rFonts w:ascii="Palatino Linotype" w:hAnsi="Palatino Linotype"/>
          <w:sz w:val="26"/>
          <w:szCs w:val="26"/>
        </w:rPr>
        <w:t xml:space="preserve"> avait pris cet ouvrage pour publication et l’avait rapproché d’ouvrages antérieurs publiés, ceux de Y</w:t>
      </w:r>
      <w:r w:rsidR="00946A21">
        <w:rPr>
          <w:rFonts w:ascii="Palatino Linotype" w:hAnsi="Palatino Linotype"/>
          <w:sz w:val="26"/>
          <w:szCs w:val="26"/>
        </w:rPr>
        <w:t>ann</w:t>
      </w:r>
      <w:r>
        <w:rPr>
          <w:rFonts w:ascii="Palatino Linotype" w:hAnsi="Palatino Linotype"/>
          <w:sz w:val="26"/>
          <w:szCs w:val="26"/>
        </w:rPr>
        <w:t xml:space="preserve"> </w:t>
      </w:r>
      <w:r w:rsidRPr="00946A21">
        <w:rPr>
          <w:rFonts w:ascii="Palatino Linotype" w:hAnsi="Palatino Linotype"/>
          <w:smallCaps/>
          <w:sz w:val="26"/>
          <w:szCs w:val="26"/>
        </w:rPr>
        <w:t>Benoist</w:t>
      </w:r>
      <w:r>
        <w:rPr>
          <w:rFonts w:ascii="Palatino Linotype" w:hAnsi="Palatino Linotype"/>
          <w:sz w:val="26"/>
          <w:szCs w:val="26"/>
        </w:rPr>
        <w:t xml:space="preserve"> (2009 et 2010), d’Amandine </w:t>
      </w:r>
      <w:r w:rsidRPr="00946A21">
        <w:rPr>
          <w:rFonts w:ascii="Palatino Linotype" w:hAnsi="Palatino Linotype"/>
          <w:smallCaps/>
          <w:sz w:val="26"/>
          <w:szCs w:val="26"/>
        </w:rPr>
        <w:t>Plancade</w:t>
      </w:r>
      <w:r>
        <w:rPr>
          <w:rFonts w:ascii="Palatino Linotype" w:hAnsi="Palatino Linotype"/>
          <w:sz w:val="26"/>
          <w:szCs w:val="26"/>
        </w:rPr>
        <w:t xml:space="preserve"> (2013), Frédérique </w:t>
      </w:r>
      <w:r w:rsidRPr="00946A21">
        <w:rPr>
          <w:rFonts w:ascii="Palatino Linotype" w:hAnsi="Palatino Linotype"/>
          <w:smallCaps/>
          <w:sz w:val="26"/>
          <w:szCs w:val="26"/>
        </w:rPr>
        <w:t>Albert</w:t>
      </w:r>
      <w:r>
        <w:rPr>
          <w:rFonts w:ascii="Palatino Linotype" w:hAnsi="Palatino Linotype"/>
          <w:sz w:val="26"/>
          <w:szCs w:val="26"/>
        </w:rPr>
        <w:t xml:space="preserve"> (2015)</w:t>
      </w:r>
      <w:r w:rsidR="00946A21">
        <w:rPr>
          <w:rFonts w:ascii="Palatino Linotype" w:hAnsi="Palatino Linotype"/>
          <w:sz w:val="26"/>
          <w:szCs w:val="26"/>
        </w:rPr>
        <w:t xml:space="preserve">. Mais les éditions L’Harmattan n’ont pas fait confiance à ceux qui ont lu le livre et elles ont cru avoir affaire à un livre de psychologie et donc envoyé quatre pages de leurs dernières parutions en psychologie (le transfert n’est pas le cœur de cette discipline nous semble-t-il). </w:t>
      </w:r>
    </w:p>
    <w:p w14:paraId="73F5FC7E" w14:textId="77777777" w:rsidR="00FF4971" w:rsidRPr="00946A21" w:rsidRDefault="00946A21" w:rsidP="00946A21">
      <w:pPr>
        <w:spacing w:after="0"/>
        <w:ind w:left="708" w:firstLine="708"/>
        <w:jc w:val="both"/>
        <w:rPr>
          <w:rFonts w:ascii="Palatino Linotype" w:hAnsi="Palatino Linotype"/>
          <w:i/>
          <w:iCs/>
          <w:sz w:val="26"/>
          <w:szCs w:val="26"/>
        </w:rPr>
      </w:pPr>
      <w:r w:rsidRPr="00946A21">
        <w:rPr>
          <w:rFonts w:ascii="Palatino Linotype" w:hAnsi="Palatino Linotype"/>
          <w:i/>
          <w:iCs/>
          <w:sz w:val="26"/>
          <w:szCs w:val="26"/>
        </w:rPr>
        <w:t>Errare humanum est !</w:t>
      </w:r>
    </w:p>
    <w:p w14:paraId="3EE4656F" w14:textId="745FEA8A" w:rsidR="00946A21" w:rsidRDefault="00946A21" w:rsidP="00946A21">
      <w:pPr>
        <w:spacing w:after="0"/>
        <w:ind w:firstLine="284"/>
        <w:jc w:val="both"/>
        <w:rPr>
          <w:rFonts w:ascii="Palatino Linotype" w:hAnsi="Palatino Linotype"/>
          <w:sz w:val="26"/>
          <w:szCs w:val="26"/>
        </w:rPr>
      </w:pPr>
      <w:r>
        <w:rPr>
          <w:rFonts w:ascii="Palatino Linotype" w:hAnsi="Palatino Linotype"/>
          <w:sz w:val="26"/>
          <w:szCs w:val="26"/>
        </w:rPr>
        <w:t>Et voilà pourquoi ce livre qui raconte une expérience de terrain ethnographique au sens le plus authentique du terme se retrouve détourné en psychologie.</w:t>
      </w:r>
      <w:r w:rsidR="004F0A7A">
        <w:rPr>
          <w:rFonts w:ascii="Palatino Linotype" w:hAnsi="Palatino Linotype"/>
          <w:sz w:val="26"/>
          <w:szCs w:val="26"/>
        </w:rPr>
        <w:t xml:space="preserve"> Et qu’un éventuel acheteur regardant la fin et le commencement du livre est obligé d’en déduire qu’étant ni chèvre ni choux et étant mi-figue mi-raisin, l’acheter </w:t>
      </w:r>
      <w:r w:rsidR="000E55A0">
        <w:rPr>
          <w:rFonts w:ascii="Palatino Linotype" w:hAnsi="Palatino Linotype"/>
          <w:sz w:val="26"/>
          <w:szCs w:val="26"/>
        </w:rPr>
        <w:t xml:space="preserve">quant lui </w:t>
      </w:r>
      <w:r w:rsidR="004F0A7A">
        <w:rPr>
          <w:rFonts w:ascii="Palatino Linotype" w:hAnsi="Palatino Linotype"/>
          <w:sz w:val="26"/>
          <w:szCs w:val="26"/>
        </w:rPr>
        <w:t>serait persévérer dans l’erreur</w:t>
      </w:r>
      <w:r w:rsidR="000E55A0">
        <w:rPr>
          <w:rFonts w:ascii="Palatino Linotype" w:hAnsi="Palatino Linotype"/>
          <w:sz w:val="26"/>
          <w:szCs w:val="26"/>
        </w:rPr>
        <w:t xml:space="preserve"> des autres</w:t>
      </w:r>
      <w:r w:rsidR="004F0A7A">
        <w:rPr>
          <w:rFonts w:ascii="Palatino Linotype" w:hAnsi="Palatino Linotype"/>
          <w:sz w:val="26"/>
          <w:szCs w:val="26"/>
        </w:rPr>
        <w:t xml:space="preserve">… </w:t>
      </w:r>
      <w:r w:rsidR="000E55A0">
        <w:rPr>
          <w:rFonts w:ascii="Palatino Linotype" w:hAnsi="Palatino Linotype"/>
          <w:sz w:val="26"/>
          <w:szCs w:val="26"/>
        </w:rPr>
        <w:t>Or</w:t>
      </w:r>
      <w:r w:rsidR="004F0A7A">
        <w:rPr>
          <w:rFonts w:ascii="Palatino Linotype" w:hAnsi="Palatino Linotype"/>
          <w:sz w:val="26"/>
          <w:szCs w:val="26"/>
        </w:rPr>
        <w:t>…</w:t>
      </w:r>
    </w:p>
    <w:p w14:paraId="5B14304F" w14:textId="77777777" w:rsidR="00946A21" w:rsidRPr="00946A21" w:rsidRDefault="00946A21" w:rsidP="00946A21">
      <w:pPr>
        <w:spacing w:after="0"/>
        <w:ind w:left="708" w:firstLine="708"/>
        <w:jc w:val="both"/>
        <w:rPr>
          <w:rFonts w:ascii="Palatino Linotype" w:hAnsi="Palatino Linotype"/>
          <w:i/>
          <w:iCs/>
          <w:sz w:val="26"/>
          <w:szCs w:val="26"/>
        </w:rPr>
      </w:pPr>
      <w:r w:rsidRPr="00946A21">
        <w:rPr>
          <w:rFonts w:ascii="Palatino Linotype" w:hAnsi="Palatino Linotype"/>
          <w:i/>
          <w:iCs/>
          <w:sz w:val="26"/>
          <w:szCs w:val="26"/>
        </w:rPr>
        <w:t>Perseverare diabolicum</w:t>
      </w:r>
      <w:r>
        <w:rPr>
          <w:rFonts w:ascii="Palatino Linotype" w:hAnsi="Palatino Linotype"/>
          <w:i/>
          <w:iCs/>
          <w:sz w:val="26"/>
          <w:szCs w:val="26"/>
        </w:rPr>
        <w:t> !</w:t>
      </w:r>
    </w:p>
    <w:p w14:paraId="308E3080" w14:textId="77777777" w:rsidR="00151D39" w:rsidRDefault="00151D39" w:rsidP="00151D39">
      <w:pPr>
        <w:spacing w:before="120" w:after="0"/>
        <w:jc w:val="both"/>
        <w:rPr>
          <w:rFonts w:ascii="Palatino Linotype" w:hAnsi="Palatino Linotype"/>
          <w:sz w:val="26"/>
          <w:szCs w:val="26"/>
        </w:rPr>
      </w:pPr>
    </w:p>
    <w:p w14:paraId="59E76442" w14:textId="77777777" w:rsidR="00946A21" w:rsidRDefault="00946A21" w:rsidP="00151D39">
      <w:pPr>
        <w:spacing w:before="120" w:after="0"/>
        <w:jc w:val="both"/>
        <w:rPr>
          <w:rFonts w:ascii="Palatino Linotype" w:hAnsi="Palatino Linotype"/>
          <w:sz w:val="26"/>
          <w:szCs w:val="26"/>
        </w:rPr>
      </w:pPr>
      <w:r w:rsidRPr="000E55A0">
        <w:rPr>
          <w:rFonts w:ascii="Palatino Linotype" w:hAnsi="Palatino Linotype"/>
          <w:b/>
          <w:bCs/>
          <w:sz w:val="26"/>
          <w:szCs w:val="26"/>
        </w:rPr>
        <w:t>Dernier mot à propos de cet ouvrage</w:t>
      </w:r>
      <w:r w:rsidR="000E55A0">
        <w:rPr>
          <w:rFonts w:ascii="Palatino Linotype" w:hAnsi="Palatino Linotype"/>
          <w:sz w:val="26"/>
          <w:szCs w:val="26"/>
        </w:rPr>
        <w:t xml:space="preserve"> qui </w:t>
      </w:r>
      <w:r>
        <w:rPr>
          <w:rFonts w:ascii="Palatino Linotype" w:hAnsi="Palatino Linotype"/>
          <w:sz w:val="26"/>
          <w:szCs w:val="26"/>
        </w:rPr>
        <w:t xml:space="preserve">est le premier d’une nouvelle aventure pour la collection </w:t>
      </w:r>
      <w:r w:rsidRPr="00946A21">
        <w:rPr>
          <w:rFonts w:ascii="Palatino Linotype" w:hAnsi="Palatino Linotype"/>
          <w:b/>
          <w:bCs/>
          <w:sz w:val="26"/>
          <w:szCs w:val="26"/>
        </w:rPr>
        <w:t>Terrain</w:t>
      </w:r>
      <w:r>
        <w:rPr>
          <w:rFonts w:ascii="Palatino Linotype" w:hAnsi="Palatino Linotype"/>
          <w:sz w:val="26"/>
          <w:szCs w:val="26"/>
        </w:rPr>
        <w:t>…</w:t>
      </w:r>
    </w:p>
    <w:p w14:paraId="1CFE15F0" w14:textId="77777777" w:rsidR="00EA7D9C" w:rsidRDefault="00EA7D9C" w:rsidP="00EA7D9C">
      <w:pPr>
        <w:spacing w:before="120" w:after="0"/>
        <w:jc w:val="both"/>
        <w:rPr>
          <w:rFonts w:ascii="Palatino Linotype" w:hAnsi="Palatino Linotype"/>
          <w:sz w:val="26"/>
          <w:szCs w:val="26"/>
        </w:rPr>
      </w:pPr>
      <w:r>
        <w:rPr>
          <w:rFonts w:ascii="Palatino Linotype" w:hAnsi="Palatino Linotype"/>
          <w:sz w:val="26"/>
          <w:szCs w:val="26"/>
        </w:rPr>
        <w:t xml:space="preserve">La collection </w:t>
      </w:r>
      <w:r w:rsidRPr="00EA7D9C">
        <w:rPr>
          <w:rFonts w:ascii="Palatino Linotype" w:hAnsi="Palatino Linotype"/>
          <w:b/>
          <w:bCs/>
          <w:sz w:val="26"/>
          <w:szCs w:val="26"/>
        </w:rPr>
        <w:t>Terrain</w:t>
      </w:r>
      <w:r>
        <w:rPr>
          <w:rFonts w:ascii="Palatino Linotype" w:hAnsi="Palatino Linotype"/>
          <w:b/>
          <w:bCs/>
          <w:sz w:val="26"/>
          <w:szCs w:val="26"/>
        </w:rPr>
        <w:t> :</w:t>
      </w:r>
      <w:r w:rsidRPr="00EA7D9C">
        <w:rPr>
          <w:rFonts w:ascii="Palatino Linotype" w:hAnsi="Palatino Linotype"/>
          <w:b/>
          <w:bCs/>
          <w:i/>
          <w:iCs/>
          <w:sz w:val="26"/>
          <w:szCs w:val="26"/>
        </w:rPr>
        <w:t xml:space="preserve"> récits et fictions</w:t>
      </w:r>
      <w:r>
        <w:rPr>
          <w:rFonts w:ascii="Palatino Linotype" w:hAnsi="Palatino Linotype"/>
          <w:sz w:val="26"/>
          <w:szCs w:val="26"/>
        </w:rPr>
        <w:t xml:space="preserve"> de L’Harmattan qui avait pour plate-forme de réunion </w:t>
      </w:r>
      <w:r w:rsidR="000E55A0">
        <w:rPr>
          <w:rFonts w:ascii="Palatino Linotype" w:hAnsi="Palatino Linotype"/>
          <w:sz w:val="26"/>
          <w:szCs w:val="26"/>
        </w:rPr>
        <w:t xml:space="preserve">de publier </w:t>
      </w:r>
      <w:r>
        <w:rPr>
          <w:rFonts w:ascii="Palatino Linotype" w:hAnsi="Palatino Linotype"/>
          <w:sz w:val="26"/>
          <w:szCs w:val="26"/>
        </w:rPr>
        <w:t xml:space="preserve">des textes </w:t>
      </w:r>
      <w:r w:rsidR="000E55A0">
        <w:rPr>
          <w:rFonts w:ascii="Palatino Linotype" w:hAnsi="Palatino Linotype"/>
          <w:sz w:val="26"/>
          <w:szCs w:val="26"/>
        </w:rPr>
        <w:t xml:space="preserve">fondés </w:t>
      </w:r>
      <w:r>
        <w:rPr>
          <w:rFonts w:ascii="Palatino Linotype" w:hAnsi="Palatino Linotype"/>
          <w:sz w:val="26"/>
          <w:szCs w:val="26"/>
        </w:rPr>
        <w:t>la notion de cohérence de pratique de terrain et de pratique d’écriture</w:t>
      </w:r>
      <w:r w:rsidR="00946A21">
        <w:rPr>
          <w:rFonts w:ascii="Palatino Linotype" w:hAnsi="Palatino Linotype"/>
          <w:sz w:val="26"/>
          <w:szCs w:val="26"/>
        </w:rPr>
        <w:t xml:space="preserve">, </w:t>
      </w:r>
      <w:r>
        <w:rPr>
          <w:rFonts w:ascii="Palatino Linotype" w:hAnsi="Palatino Linotype"/>
          <w:sz w:val="26"/>
          <w:szCs w:val="26"/>
        </w:rPr>
        <w:t xml:space="preserve">prend </w:t>
      </w:r>
      <w:r w:rsidR="006B3CC2">
        <w:rPr>
          <w:rFonts w:ascii="Palatino Linotype" w:hAnsi="Palatino Linotype"/>
          <w:sz w:val="26"/>
          <w:szCs w:val="26"/>
        </w:rPr>
        <w:t xml:space="preserve">avec cet ouvrage </w:t>
      </w:r>
      <w:r>
        <w:rPr>
          <w:rFonts w:ascii="Palatino Linotype" w:hAnsi="Palatino Linotype"/>
          <w:sz w:val="26"/>
          <w:szCs w:val="26"/>
        </w:rPr>
        <w:t xml:space="preserve">un nouveau départ avec son nouveau directeur, Sofiane </w:t>
      </w:r>
      <w:r w:rsidRPr="000E55A0">
        <w:rPr>
          <w:rFonts w:ascii="Palatino Linotype" w:hAnsi="Palatino Linotype"/>
          <w:smallCaps/>
          <w:sz w:val="26"/>
          <w:szCs w:val="26"/>
        </w:rPr>
        <w:t>Naït Mouloud</w:t>
      </w:r>
      <w:r>
        <w:rPr>
          <w:rFonts w:ascii="Palatino Linotype" w:hAnsi="Palatino Linotype"/>
          <w:sz w:val="26"/>
          <w:szCs w:val="26"/>
        </w:rPr>
        <w:t xml:space="preserve"> qui </w:t>
      </w:r>
      <w:r>
        <w:rPr>
          <w:rFonts w:ascii="Palatino Linotype" w:hAnsi="Palatino Linotype"/>
          <w:sz w:val="26"/>
          <w:szCs w:val="26"/>
        </w:rPr>
        <w:lastRenderedPageBreak/>
        <w:t>l’ouvre d’une manière plus résolue par un nouveau logo vers une conception élargie du rapport au monde</w:t>
      </w:r>
      <w:r w:rsidR="006B3CC2">
        <w:rPr>
          <w:rFonts w:ascii="Palatino Linotype" w:hAnsi="Palatino Linotype"/>
          <w:sz w:val="26"/>
          <w:szCs w:val="26"/>
        </w:rPr>
        <w:t xml:space="preserve"> et de l’ouverture comme mouvement vers l’autre. </w:t>
      </w:r>
    </w:p>
    <w:p w14:paraId="5A9C697C" w14:textId="77777777" w:rsidR="006B3CC2" w:rsidRPr="00FD21E6" w:rsidRDefault="006B3CC2" w:rsidP="006B3CC2">
      <w:pPr>
        <w:spacing w:after="0"/>
        <w:ind w:firstLine="284"/>
        <w:jc w:val="both"/>
        <w:rPr>
          <w:rFonts w:ascii="Palatino Linotype" w:hAnsi="Palatino Linotype"/>
          <w:sz w:val="26"/>
          <w:szCs w:val="26"/>
        </w:rPr>
      </w:pPr>
      <w:r>
        <w:rPr>
          <w:rFonts w:ascii="Palatino Linotype" w:hAnsi="Palatino Linotype"/>
          <w:sz w:val="26"/>
          <w:szCs w:val="26"/>
        </w:rPr>
        <w:t>Cette dimension était certes présente dans la production antérieure, mais les ouvrages publiés de la collection étaient souvent marqués par une conception anthropologique et même parfois ethnologique. Il est toujours bon de changer et de s’appuyer sur l’acquis pour le faire craquer.</w:t>
      </w:r>
      <w:r w:rsidRPr="006B3CC2">
        <w:rPr>
          <w:rFonts w:ascii="Palatino Linotype" w:hAnsi="Palatino Linotype"/>
          <w:sz w:val="26"/>
          <w:szCs w:val="26"/>
        </w:rPr>
        <w:t xml:space="preserve"> </w:t>
      </w:r>
      <w:r w:rsidR="00FD21E6">
        <w:rPr>
          <w:rFonts w:ascii="Palatino Linotype" w:hAnsi="Palatino Linotype"/>
          <w:sz w:val="26"/>
          <w:szCs w:val="26"/>
        </w:rPr>
        <w:t xml:space="preserve">(Est-ce Talleyrand qui disait : </w:t>
      </w:r>
      <w:r w:rsidR="00FD21E6">
        <w:rPr>
          <w:rFonts w:ascii="Palatino Linotype" w:hAnsi="Palatino Linotype"/>
          <w:i/>
          <w:iCs/>
          <w:sz w:val="26"/>
          <w:szCs w:val="26"/>
        </w:rPr>
        <w:t>S’appuyer sur les traditions jusqu’à les faire craquer </w:t>
      </w:r>
      <w:r w:rsidR="00FD21E6">
        <w:rPr>
          <w:rFonts w:ascii="Palatino Linotype" w:hAnsi="Palatino Linotype"/>
          <w:sz w:val="26"/>
          <w:szCs w:val="26"/>
        </w:rPr>
        <w:t>?)</w:t>
      </w:r>
    </w:p>
    <w:p w14:paraId="3D8796F5" w14:textId="77777777" w:rsidR="006B3CC2" w:rsidRDefault="006B3CC2" w:rsidP="000B31C3">
      <w:pPr>
        <w:spacing w:after="0"/>
        <w:ind w:firstLine="284"/>
        <w:jc w:val="center"/>
        <w:rPr>
          <w:rFonts w:ascii="Palatino Linotype" w:hAnsi="Palatino Linotype"/>
          <w:sz w:val="26"/>
          <w:szCs w:val="26"/>
        </w:rPr>
      </w:pPr>
      <w:r>
        <w:rPr>
          <w:rFonts w:ascii="Palatino Linotype" w:hAnsi="Palatino Linotype"/>
          <w:sz w:val="26"/>
          <w:szCs w:val="26"/>
        </w:rPr>
        <w:t xml:space="preserve">Bienvenue donc à cette nouvelle aventure éditoriale menée par </w:t>
      </w:r>
      <w:r w:rsidR="000B31C3">
        <w:rPr>
          <w:rFonts w:ascii="Palatino Linotype" w:hAnsi="Palatino Linotype"/>
          <w:sz w:val="26"/>
          <w:szCs w:val="26"/>
        </w:rPr>
        <w:br/>
      </w:r>
      <w:r>
        <w:rPr>
          <w:rFonts w:ascii="Palatino Linotype" w:hAnsi="Palatino Linotype"/>
          <w:sz w:val="26"/>
          <w:szCs w:val="26"/>
        </w:rPr>
        <w:t xml:space="preserve">Sofiane </w:t>
      </w:r>
      <w:r w:rsidRPr="00FD21E6">
        <w:rPr>
          <w:rFonts w:ascii="Palatino Linotype" w:hAnsi="Palatino Linotype"/>
          <w:smallCaps/>
          <w:sz w:val="26"/>
          <w:szCs w:val="26"/>
        </w:rPr>
        <w:t>Naït Mouloud</w:t>
      </w:r>
    </w:p>
    <w:sectPr w:rsidR="006B3C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6A966" w14:textId="77777777" w:rsidR="00FD3D5F" w:rsidRDefault="00FD3D5F" w:rsidP="00C41A8C">
      <w:pPr>
        <w:spacing w:after="0" w:line="240" w:lineRule="auto"/>
      </w:pPr>
      <w:r>
        <w:separator/>
      </w:r>
    </w:p>
  </w:endnote>
  <w:endnote w:type="continuationSeparator" w:id="0">
    <w:p w14:paraId="32713C59" w14:textId="77777777" w:rsidR="00FD3D5F" w:rsidRDefault="00FD3D5F" w:rsidP="00C4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658495"/>
      <w:docPartObj>
        <w:docPartGallery w:val="Page Numbers (Bottom of Page)"/>
        <w:docPartUnique/>
      </w:docPartObj>
    </w:sdtPr>
    <w:sdtEndPr/>
    <w:sdtContent>
      <w:p w14:paraId="47551202" w14:textId="77777777" w:rsidR="002126BF" w:rsidRDefault="002126BF">
        <w:pPr>
          <w:pStyle w:val="Pieddepage"/>
          <w:jc w:val="center"/>
        </w:pPr>
        <w:r>
          <w:fldChar w:fldCharType="begin"/>
        </w:r>
        <w:r>
          <w:instrText>PAGE   \* MERGEFORMAT</w:instrText>
        </w:r>
        <w:r>
          <w:fldChar w:fldCharType="separate"/>
        </w:r>
        <w:r w:rsidR="00390902">
          <w:rPr>
            <w:noProof/>
          </w:rPr>
          <w:t>4</w:t>
        </w:r>
        <w:r>
          <w:fldChar w:fldCharType="end"/>
        </w:r>
      </w:p>
    </w:sdtContent>
  </w:sdt>
  <w:p w14:paraId="25A0AD32" w14:textId="77777777" w:rsidR="002126BF" w:rsidRDefault="002126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06AE0" w14:textId="77777777" w:rsidR="00FD3D5F" w:rsidRDefault="00FD3D5F" w:rsidP="00C41A8C">
      <w:pPr>
        <w:spacing w:after="0" w:line="240" w:lineRule="auto"/>
      </w:pPr>
      <w:r>
        <w:separator/>
      </w:r>
    </w:p>
  </w:footnote>
  <w:footnote w:type="continuationSeparator" w:id="0">
    <w:p w14:paraId="338FC632" w14:textId="77777777" w:rsidR="00FD3D5F" w:rsidRDefault="00FD3D5F" w:rsidP="00C41A8C">
      <w:pPr>
        <w:spacing w:after="0" w:line="240" w:lineRule="auto"/>
      </w:pPr>
      <w:r>
        <w:continuationSeparator/>
      </w:r>
    </w:p>
  </w:footnote>
  <w:footnote w:id="1">
    <w:p w14:paraId="5B5ADD4E" w14:textId="77777777" w:rsidR="00C41A8C" w:rsidRDefault="00C41A8C" w:rsidP="00C41A8C">
      <w:pPr>
        <w:pStyle w:val="Notedebasdepage"/>
        <w:spacing w:line="240" w:lineRule="exact"/>
        <w:jc w:val="both"/>
      </w:pPr>
      <w:r>
        <w:rPr>
          <w:rStyle w:val="Appelnotedebasdep"/>
        </w:rPr>
        <w:footnoteRef/>
      </w:r>
      <w:r>
        <w:t xml:space="preserve"> Les spécialistes savent la dérive actuelle des disciplines de sciences sociales : </w:t>
      </w:r>
      <w:r w:rsidRPr="00C41A8C">
        <w:rPr>
          <w:i/>
          <w:iCs/>
        </w:rPr>
        <w:t>anthropologie de la maladie</w:t>
      </w:r>
      <w:r>
        <w:t xml:space="preserve">, </w:t>
      </w:r>
      <w:r w:rsidRPr="00C41A8C">
        <w:rPr>
          <w:i/>
          <w:iCs/>
        </w:rPr>
        <w:t>sociologie de l’eau</w:t>
      </w:r>
      <w:r>
        <w:t xml:space="preserve"> etc. qui donnent à certains enseignants la possibilité de produire des copies des grands ouvrages de méthode adaptées aux interrogations spécifiques et les vendre à un public captif : leurs étudiants. Ces travaux, plus signés que pensés par eux, sont très souvent affligeants, il n’est pas superfétatoire de dire que l’ouvrage sur lequel s’appuie Lisa Bouvier n’appartient à l’évidence pas à cette catégorie.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8D"/>
    <w:rsid w:val="000B31C3"/>
    <w:rsid w:val="000C68DF"/>
    <w:rsid w:val="000E55A0"/>
    <w:rsid w:val="00105A47"/>
    <w:rsid w:val="00147321"/>
    <w:rsid w:val="00151D39"/>
    <w:rsid w:val="001B2007"/>
    <w:rsid w:val="002126BF"/>
    <w:rsid w:val="00313DCC"/>
    <w:rsid w:val="00381911"/>
    <w:rsid w:val="00390902"/>
    <w:rsid w:val="003C21E3"/>
    <w:rsid w:val="004313ED"/>
    <w:rsid w:val="004455A1"/>
    <w:rsid w:val="00461BA0"/>
    <w:rsid w:val="00462DA6"/>
    <w:rsid w:val="0049231F"/>
    <w:rsid w:val="004F0A7A"/>
    <w:rsid w:val="00506188"/>
    <w:rsid w:val="00557A40"/>
    <w:rsid w:val="005B6051"/>
    <w:rsid w:val="00696980"/>
    <w:rsid w:val="006B3CC2"/>
    <w:rsid w:val="00752F73"/>
    <w:rsid w:val="008F5430"/>
    <w:rsid w:val="008F7EB2"/>
    <w:rsid w:val="00946A21"/>
    <w:rsid w:val="00A22B4A"/>
    <w:rsid w:val="00AF6DCB"/>
    <w:rsid w:val="00B83B24"/>
    <w:rsid w:val="00BD08AC"/>
    <w:rsid w:val="00BD224F"/>
    <w:rsid w:val="00C41A8C"/>
    <w:rsid w:val="00D14114"/>
    <w:rsid w:val="00DE5A6D"/>
    <w:rsid w:val="00E3438D"/>
    <w:rsid w:val="00E46E57"/>
    <w:rsid w:val="00EA7D9C"/>
    <w:rsid w:val="00FD21E6"/>
    <w:rsid w:val="00FD3D5F"/>
    <w:rsid w:val="00FF4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A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A8C"/>
    <w:rPr>
      <w:sz w:val="20"/>
      <w:szCs w:val="20"/>
    </w:rPr>
  </w:style>
  <w:style w:type="character" w:styleId="Appelnotedebasdep">
    <w:name w:val="footnote reference"/>
    <w:basedOn w:val="Policepardfaut"/>
    <w:uiPriority w:val="99"/>
    <w:semiHidden/>
    <w:unhideWhenUsed/>
    <w:rsid w:val="00C41A8C"/>
    <w:rPr>
      <w:vertAlign w:val="superscript"/>
    </w:rPr>
  </w:style>
  <w:style w:type="paragraph" w:styleId="En-tte">
    <w:name w:val="header"/>
    <w:basedOn w:val="Normal"/>
    <w:link w:val="En-tteCar"/>
    <w:uiPriority w:val="99"/>
    <w:unhideWhenUsed/>
    <w:rsid w:val="002126BF"/>
    <w:pPr>
      <w:tabs>
        <w:tab w:val="center" w:pos="4536"/>
        <w:tab w:val="right" w:pos="9072"/>
      </w:tabs>
      <w:spacing w:after="0" w:line="240" w:lineRule="auto"/>
    </w:pPr>
  </w:style>
  <w:style w:type="character" w:customStyle="1" w:styleId="En-tteCar">
    <w:name w:val="En-tête Car"/>
    <w:basedOn w:val="Policepardfaut"/>
    <w:link w:val="En-tte"/>
    <w:uiPriority w:val="99"/>
    <w:rsid w:val="002126BF"/>
  </w:style>
  <w:style w:type="paragraph" w:styleId="Pieddepage">
    <w:name w:val="footer"/>
    <w:basedOn w:val="Normal"/>
    <w:link w:val="PieddepageCar"/>
    <w:uiPriority w:val="99"/>
    <w:unhideWhenUsed/>
    <w:rsid w:val="002126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A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A8C"/>
    <w:rPr>
      <w:sz w:val="20"/>
      <w:szCs w:val="20"/>
    </w:rPr>
  </w:style>
  <w:style w:type="character" w:styleId="Appelnotedebasdep">
    <w:name w:val="footnote reference"/>
    <w:basedOn w:val="Policepardfaut"/>
    <w:uiPriority w:val="99"/>
    <w:semiHidden/>
    <w:unhideWhenUsed/>
    <w:rsid w:val="00C41A8C"/>
    <w:rPr>
      <w:vertAlign w:val="superscript"/>
    </w:rPr>
  </w:style>
  <w:style w:type="paragraph" w:styleId="En-tte">
    <w:name w:val="header"/>
    <w:basedOn w:val="Normal"/>
    <w:link w:val="En-tteCar"/>
    <w:uiPriority w:val="99"/>
    <w:unhideWhenUsed/>
    <w:rsid w:val="002126BF"/>
    <w:pPr>
      <w:tabs>
        <w:tab w:val="center" w:pos="4536"/>
        <w:tab w:val="right" w:pos="9072"/>
      </w:tabs>
      <w:spacing w:after="0" w:line="240" w:lineRule="auto"/>
    </w:pPr>
  </w:style>
  <w:style w:type="character" w:customStyle="1" w:styleId="En-tteCar">
    <w:name w:val="En-tête Car"/>
    <w:basedOn w:val="Policepardfaut"/>
    <w:link w:val="En-tte"/>
    <w:uiPriority w:val="99"/>
    <w:rsid w:val="002126BF"/>
  </w:style>
  <w:style w:type="paragraph" w:styleId="Pieddepage">
    <w:name w:val="footer"/>
    <w:basedOn w:val="Normal"/>
    <w:link w:val="PieddepageCar"/>
    <w:uiPriority w:val="99"/>
    <w:unhideWhenUsed/>
    <w:rsid w:val="002126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52D5-61B5-48F3-8342-C43AB6D8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8639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Lacombe</dc:creator>
  <cp:lastModifiedBy>HA54</cp:lastModifiedBy>
  <cp:revision>2</cp:revision>
  <dcterms:created xsi:type="dcterms:W3CDTF">2019-08-27T13:42:00Z</dcterms:created>
  <dcterms:modified xsi:type="dcterms:W3CDTF">2019-08-27T13:42:00Z</dcterms:modified>
</cp:coreProperties>
</file>